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BA9569"/>
          <w:sz w:val="17"/>
          <w:szCs w:val="17"/>
        </w:rPr>
        <w:t xml:space="preserve">V A L U A T I O N   D I S C U S S I O N   H O U R</w:t>
      </w:r>
    </w:p>
    <w:p>
      <w:pPr>
        <w:spacing w:after="60"/>
      </w:pPr>
      <w:r>
        <w:rPr>
          <w:b/>
          <w:bCs/>
          <w:color w:val="10233F"/>
          <w:sz w:val="34"/>
          <w:szCs w:val="34"/>
        </w:rPr>
        <w:t xml:space="preserve">CPD Review Paper</w:t>
      </w:r>
    </w:p>
    <w:p>
      <w:pPr>
        <w:spacing w:after="80"/>
      </w:pPr>
      <w:r>
        <w:rPr>
          <w:b/>
          <w:bCs/>
          <w:color w:val="10233F"/>
          <w:sz w:val="24"/>
          <w:szCs w:val="24"/>
        </w:rPr>
        <w:t xml:space="preserve">VDH24 — Property: Legal Analysis</w:t>
      </w:r>
    </w:p>
    <w:p>
      <w:pPr>
        <w:spacing w:after="40"/>
      </w:pPr>
      <w:r>
        <w:rPr>
          <w:color w:val="5B6B82"/>
          <w:sz w:val="19"/>
          <w:szCs w:val="19"/>
        </w:rPr>
        <w:t xml:space="preserve">Thursday, 17 September 2026   ·   Presenter: Philip Niesing   ·   The Valuation Report Series, Part 2</w:t>
      </w:r>
    </w:p>
    <w:p>
      <w:pPr>
        <w:spacing w:after="40"/>
      </w:pPr>
      <w:r>
        <w:rPr>
          <w:color w:val="5B6B82"/>
          <w:sz w:val="19"/>
          <w:szCs w:val="19"/>
        </w:rPr>
        <w:t xml:space="preserve">5 questions, 2 marks each   ·   10 marks   ·   Pass mark 70% (7 marks)</w:t>
      </w:r>
    </w:p>
    <w:p>
      <w:pPr>
        <w:pBdr>
          <w:bottom w:val="single" w:color="10233F" w:sz="8"/>
        </w:pBdr>
        <w:spacing w:after="200" w:before="120"/>
      </w:pPr>
    </w:p>
    <w:p>
      <w:pPr>
        <w:spacing w:after="120"/>
      </w:pPr>
      <w:r>
        <w:rPr>
          <w:color w:val="1C2B42"/>
          <w:sz w:val="21"/>
          <w:szCs w:val="21"/>
        </w:rPr>
        <w:t xml:space="preserve">Answer all five questions in your own words, typing into the boxes provided. Write in full sentences — three to five sentences on each question is sufficient. The assessor is looking for understanding and application rather than recall.</w:t>
      </w:r>
    </w:p>
    <w:p>
      <w:pPr>
        <w:spacing w:after="120"/>
      </w:pPr>
      <w:r>
        <w:rPr>
          <w:b/>
          <w:bCs/>
          <w:color w:val="10233F"/>
          <w:sz w:val="21"/>
          <w:szCs w:val="21"/>
        </w:rPr>
        <w:t xml:space="preserve">Each question has two parts: </w:t>
      </w:r>
      <w:r>
        <w:rPr>
          <w:color w:val="10233F"/>
          <w:sz w:val="21"/>
          <w:szCs w:val="21"/>
        </w:rPr>
        <w:t xml:space="preserve">what the concept means, and what you must actually do about it as a valuer. Answer both. Marks are most often lost by answering only the first part.</w:t>
      </w:r>
    </w:p>
    <w:p>
      <w:pPr>
        <w:spacing w:after="120"/>
      </w:pPr>
      <w:r>
        <w:rPr>
          <w:color w:val="1C2B42"/>
          <w:sz w:val="21"/>
          <w:szCs w:val="21"/>
        </w:rPr>
        <w:t xml:space="preserve">Save the completed document and submit it using the form on the CPD Points &amp; Certificates page.</w:t>
      </w:r>
    </w:p>
    <w:p>
      <w:pPr>
        <w:spacing w:after="200"/>
      </w:pPr>
      <w:r>
        <w:rPr>
          <w:i/>
          <w:iCs/>
          <w:color w:val="5B6B82"/>
          <w:sz w:val="20"/>
          <w:szCs w:val="20"/>
        </w:rPr>
        <w:t xml:space="preserve">CPD points require verified live attendance. Your submission is checked against the Zoom attendance report for this session before points are awarded. Please submit from the same email address you used to join the session.</w:t>
      </w:r>
    </w:p>
    <w:p>
      <w:pPr>
        <w:spacing w:after="160" w:before="120"/>
      </w:pPr>
      <w:r>
        <w:rPr>
          <w:b/>
          <w:bCs/>
          <w:color w:val="10233F"/>
          <w:sz w:val="24"/>
          <w:szCs w:val="24"/>
        </w:rPr>
        <w:t xml:space="preserve">Your details</w:t>
      </w:r>
    </w:p>
    <w:p>
      <w:pPr>
        <w:spacing w:after="180"/>
      </w:pPr>
      <w:r>
        <w:rPr>
          <w:color w:val="1C2B42"/>
          <w:sz w:val="21"/>
          <w:szCs w:val="21"/>
        </w:rPr>
        <w:t xml:space="preserve">Full name:</w:t>
      </w:r>
      <w:r>
        <w:rPr>
          <w:sz w:val="21"/>
          <w:szCs w:val="21"/>
        </w:rPr>
        <w:t xml:space="preserve">  </w:t>
      </w:r>
      <w:r>
        <w:rPr>
          <w:color w:val="A8C2D9"/>
          <w:sz w:val="21"/>
          <w:szCs w:val="21"/>
        </w:rPr>
        <w:t xml:space="preserve">____________________________________________________</w:t>
      </w:r>
    </w:p>
    <w:p>
      <w:pPr>
        <w:spacing w:after="180"/>
      </w:pPr>
      <w:r>
        <w:rPr>
          <w:color w:val="1C2B42"/>
          <w:sz w:val="21"/>
          <w:szCs w:val="21"/>
        </w:rPr>
        <w:t xml:space="preserve">Email used to join Zoom:</w:t>
      </w:r>
      <w:r>
        <w:rPr>
          <w:sz w:val="21"/>
          <w:szCs w:val="21"/>
        </w:rPr>
        <w:t xml:space="preserve">  </w:t>
      </w:r>
      <w:r>
        <w:rPr>
          <w:color w:val="A8C2D9"/>
          <w:sz w:val="21"/>
          <w:szCs w:val="21"/>
        </w:rPr>
        <w:t xml:space="preserve">____________________________________________</w:t>
      </w:r>
    </w:p>
    <w:p>
      <w:pPr>
        <w:spacing w:after="180"/>
      </w:pPr>
      <w:r>
        <w:rPr>
          <w:color w:val="1C2B42"/>
          <w:sz w:val="21"/>
          <w:szCs w:val="21"/>
        </w:rPr>
        <w:t xml:space="preserve">Registration no. (SACPVP / RICS):</w:t>
      </w:r>
      <w:r>
        <w:rPr>
          <w:sz w:val="21"/>
          <w:szCs w:val="21"/>
        </w:rPr>
        <w:t xml:space="preserve">  </w:t>
      </w:r>
      <w:r>
        <w:rPr>
          <w:color w:val="A8C2D9"/>
          <w:sz w:val="21"/>
          <w:szCs w:val="21"/>
        </w:rPr>
        <w:t xml:space="preserve">______________________________________</w:t>
      </w:r>
    </w:p>
    <w:p>
      <w:pPr>
        <w:spacing w:after="180"/>
      </w:pPr>
      <w:r>
        <w:rPr>
          <w:color w:val="1C2B42"/>
          <w:sz w:val="21"/>
          <w:szCs w:val="21"/>
        </w:rPr>
        <w:t xml:space="preserve">Date:</w:t>
      </w:r>
      <w:r>
        <w:rPr>
          <w:sz w:val="21"/>
          <w:szCs w:val="21"/>
        </w:rPr>
        <w:t xml:space="preserve">  </w:t>
      </w:r>
      <w:r>
        <w:rPr>
          <w:color w:val="A8C2D9"/>
          <w:sz w:val="21"/>
          <w:szCs w:val="21"/>
        </w:rPr>
        <w:t xml:space="preserve">________________________________________________________</w:t>
      </w:r>
    </w:p>
    <w:p>
      <w:pPr>
        <w:pBdr>
          <w:bottom w:val="single" w:color="A8C2D9" w:sz="6"/>
        </w:pBdr>
        <w:spacing w:after="200" w:before="120"/>
      </w:pPr>
    </w:p>
    <w:p>
      <w:pPr>
        <w:spacing w:after="60"/>
      </w:pPr>
      <w:r>
        <w:rPr>
          <w:b/>
          <w:bCs/>
          <w:color w:val="10233F"/>
          <w:sz w:val="24"/>
          <w:szCs w:val="24"/>
        </w:rPr>
        <w:t xml:space="preserve">Questions</w:t>
      </w:r>
    </w:p>
    <w:p>
      <w:pPr>
        <w:spacing w:after="100" w:before="260"/>
      </w:pPr>
      <w:r>
        <w:rPr>
          <w:b/>
          <w:bCs/>
          <w:color w:val="10233F"/>
          <w:sz w:val="22"/>
          <w:szCs w:val="22"/>
        </w:rPr>
        <w:t xml:space="preserve">1.  </w:t>
      </w:r>
      <w:r>
        <w:rPr>
          <w:b w:val="false"/>
          <w:bCs w:val="false"/>
          <w:color w:val="1C2B42"/>
          <w:sz w:val="22"/>
          <w:szCs w:val="22"/>
        </w:rPr>
        <w:t xml:space="preserve">Explain why a valuation report identifies the subject property by its legal description rather than by its street address, and </w:t>
      </w:r>
      <w:r>
        <w:rPr>
          <w:b/>
          <w:bCs/>
          <w:color w:val="10233F"/>
          <w:sz w:val="22"/>
          <w:szCs w:val="22"/>
        </w:rPr>
        <w:t xml:space="preserve">set out what a full legal description of a freehold erf should contain.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A8C2D9" w:sz="4"/>
              <w:left w:val="single" w:color="A8C2D9" w:sz="4"/>
              <w:bottom w:val="single" w:color="A8C2D9" w:sz="4"/>
              <w:right w:val="single" w:color="A8C2D9" w:sz="4"/>
            </w:tcBorders>
            <w:shd w:fill="F4F7FA" w:color="auto" w:val="clear"/>
            <w:tcMar>
              <w:top w:type="dxa" w:w="120"/>
              <w:left w:type="dxa" w:w="160"/>
              <w:bottom w:type="dxa" w:w="120"/>
              <w:right w:type="dxa" w:w="160"/>
            </w:tcMar>
          </w:tcPr>
          <w:p>
            <w:pPr>
              <w:spacing w:after="0" w:line="300"/>
            </w:pPr>
          </w:p>
          <w:p>
            <w:pPr>
              <w:spacing w:after="0" w:line="300"/>
            </w:pPr>
          </w:p>
          <w:p>
            <w:pPr>
              <w:spacing w:after="0" w:line="300"/>
            </w:pPr>
          </w:p>
          <w:p>
            <w:pPr>
              <w:spacing w:after="0" w:line="300"/>
            </w:pPr>
          </w:p>
          <w:p>
            <w:pPr>
              <w:spacing w:after="0" w:line="300"/>
            </w:pPr>
          </w:p>
          <w:p>
            <w:pPr>
              <w:spacing w:after="0" w:line="300"/>
            </w:pPr>
          </w:p>
        </w:tc>
      </w:tr>
    </w:tbl>
    <w:p>
      <w:pPr>
        <w:spacing w:after="100" w:before="260"/>
      </w:pPr>
      <w:r>
        <w:rPr>
          <w:b/>
          <w:bCs/>
          <w:color w:val="10233F"/>
          <w:sz w:val="22"/>
          <w:szCs w:val="22"/>
        </w:rPr>
        <w:t xml:space="preserve">2.  </w:t>
      </w:r>
      <w:r>
        <w:rPr>
          <w:b w:val="false"/>
          <w:bCs w:val="false"/>
          <w:color w:val="1C2B42"/>
          <w:sz w:val="22"/>
          <w:szCs w:val="22"/>
        </w:rPr>
        <w:t xml:space="preserve">The instructing party tells you who owns the property. </w:t>
      </w:r>
      <w:r>
        <w:rPr>
          <w:b/>
          <w:bCs/>
          <w:color w:val="10233F"/>
          <w:sz w:val="22"/>
          <w:szCs w:val="22"/>
        </w:rPr>
        <w:t xml:space="preserve">Explain what the valuer must do with that information, and say why the price recorded on the last transfer is not evidence of the property’s value today.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A8C2D9" w:sz="4"/>
              <w:left w:val="single" w:color="A8C2D9" w:sz="4"/>
              <w:bottom w:val="single" w:color="A8C2D9" w:sz="4"/>
              <w:right w:val="single" w:color="A8C2D9" w:sz="4"/>
            </w:tcBorders>
            <w:shd w:fill="F4F7FA" w:color="auto" w:val="clear"/>
            <w:tcMar>
              <w:top w:type="dxa" w:w="120"/>
              <w:left w:type="dxa" w:w="160"/>
              <w:bottom w:type="dxa" w:w="120"/>
              <w:right w:type="dxa" w:w="160"/>
            </w:tcMar>
          </w:tcPr>
          <w:p>
            <w:pPr>
              <w:spacing w:after="0" w:line="300"/>
            </w:pPr>
          </w:p>
          <w:p>
            <w:pPr>
              <w:spacing w:after="0" w:line="300"/>
            </w:pPr>
          </w:p>
          <w:p>
            <w:pPr>
              <w:spacing w:after="0" w:line="300"/>
            </w:pPr>
          </w:p>
          <w:p>
            <w:pPr>
              <w:spacing w:after="0" w:line="300"/>
            </w:pPr>
          </w:p>
          <w:p>
            <w:pPr>
              <w:spacing w:after="0" w:line="300"/>
            </w:pPr>
          </w:p>
          <w:p>
            <w:pPr>
              <w:spacing w:after="0" w:line="300"/>
            </w:pPr>
          </w:p>
        </w:tc>
      </w:tr>
    </w:tbl>
    <w:p>
      <w:pPr>
        <w:spacing w:after="100" w:before="260"/>
      </w:pPr>
      <w:r>
        <w:rPr>
          <w:b/>
          <w:bCs/>
          <w:color w:val="10233F"/>
          <w:sz w:val="22"/>
          <w:szCs w:val="22"/>
        </w:rPr>
        <w:t xml:space="preserve">3.  </w:t>
      </w:r>
      <w:r>
        <w:rPr>
          <w:b w:val="false"/>
          <w:bCs w:val="false"/>
          <w:color w:val="1C2B42"/>
          <w:sz w:val="22"/>
          <w:szCs w:val="22"/>
        </w:rPr>
        <w:t xml:space="preserve">Distinguish between the zoning of a property and a restrictive condition contained in its title deed, and </w:t>
      </w:r>
      <w:r>
        <w:rPr>
          <w:b/>
          <w:bCs/>
          <w:color w:val="10233F"/>
          <w:sz w:val="22"/>
          <w:szCs w:val="22"/>
        </w:rPr>
        <w:t xml:space="preserve">explain how the valuer should deal with a title condition found on reading the deed.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A8C2D9" w:sz="4"/>
              <w:left w:val="single" w:color="A8C2D9" w:sz="4"/>
              <w:bottom w:val="single" w:color="A8C2D9" w:sz="4"/>
              <w:right w:val="single" w:color="A8C2D9" w:sz="4"/>
            </w:tcBorders>
            <w:shd w:fill="F4F7FA" w:color="auto" w:val="clear"/>
            <w:tcMar>
              <w:top w:type="dxa" w:w="120"/>
              <w:left w:type="dxa" w:w="160"/>
              <w:bottom w:type="dxa" w:w="120"/>
              <w:right w:type="dxa" w:w="160"/>
            </w:tcMar>
          </w:tcPr>
          <w:p>
            <w:pPr>
              <w:spacing w:after="0" w:line="300"/>
            </w:pPr>
          </w:p>
          <w:p>
            <w:pPr>
              <w:spacing w:after="0" w:line="300"/>
            </w:pPr>
          </w:p>
          <w:p>
            <w:pPr>
              <w:spacing w:after="0" w:line="300"/>
            </w:pPr>
          </w:p>
          <w:p>
            <w:pPr>
              <w:spacing w:after="0" w:line="300"/>
            </w:pPr>
          </w:p>
          <w:p>
            <w:pPr>
              <w:spacing w:after="0" w:line="300"/>
            </w:pPr>
          </w:p>
          <w:p>
            <w:pPr>
              <w:spacing w:after="0" w:line="300"/>
            </w:pPr>
          </w:p>
        </w:tc>
      </w:tr>
    </w:tbl>
    <w:p>
      <w:pPr>
        <w:spacing w:after="100" w:before="260"/>
      </w:pPr>
      <w:r>
        <w:rPr>
          <w:b/>
          <w:bCs/>
          <w:color w:val="10233F"/>
          <w:sz w:val="22"/>
          <w:szCs w:val="22"/>
        </w:rPr>
        <w:t xml:space="preserve">4.  </w:t>
      </w:r>
      <w:r>
        <w:rPr>
          <w:b w:val="false"/>
          <w:bCs w:val="false"/>
          <w:color w:val="1C2B42"/>
          <w:sz w:val="22"/>
          <w:szCs w:val="22"/>
        </w:rPr>
        <w:t xml:space="preserve">A property is subject to a registered mortgage bond and to an occupational lease. </w:t>
      </w:r>
      <w:r>
        <w:rPr>
          <w:b/>
          <w:bCs/>
          <w:color w:val="10233F"/>
          <w:sz w:val="22"/>
          <w:szCs w:val="22"/>
        </w:rPr>
        <w:t xml:space="preserve">Explain how each of these affects the valuer’s opinion of market value, and why the two are treated differently.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A8C2D9" w:sz="4"/>
              <w:left w:val="single" w:color="A8C2D9" w:sz="4"/>
              <w:bottom w:val="single" w:color="A8C2D9" w:sz="4"/>
              <w:right w:val="single" w:color="A8C2D9" w:sz="4"/>
            </w:tcBorders>
            <w:shd w:fill="F4F7FA" w:color="auto" w:val="clear"/>
            <w:tcMar>
              <w:top w:type="dxa" w:w="120"/>
              <w:left w:type="dxa" w:w="160"/>
              <w:bottom w:type="dxa" w:w="120"/>
              <w:right w:type="dxa" w:w="160"/>
            </w:tcMar>
          </w:tcPr>
          <w:p>
            <w:pPr>
              <w:spacing w:after="0" w:line="300"/>
            </w:pPr>
          </w:p>
          <w:p>
            <w:pPr>
              <w:spacing w:after="0" w:line="300"/>
            </w:pPr>
          </w:p>
          <w:p>
            <w:pPr>
              <w:spacing w:after="0" w:line="300"/>
            </w:pPr>
          </w:p>
          <w:p>
            <w:pPr>
              <w:spacing w:after="0" w:line="300"/>
            </w:pPr>
          </w:p>
          <w:p>
            <w:pPr>
              <w:spacing w:after="0" w:line="300"/>
            </w:pPr>
          </w:p>
          <w:p>
            <w:pPr>
              <w:spacing w:after="0" w:line="300"/>
            </w:pPr>
          </w:p>
        </w:tc>
      </w:tr>
    </w:tbl>
    <w:p>
      <w:pPr>
        <w:spacing w:after="100" w:before="260"/>
      </w:pPr>
      <w:r>
        <w:rPr>
          <w:b/>
          <w:bCs/>
          <w:color w:val="10233F"/>
          <w:sz w:val="22"/>
          <w:szCs w:val="22"/>
        </w:rPr>
        <w:t xml:space="preserve">5.  </w:t>
      </w:r>
      <w:r>
        <w:rPr>
          <w:b w:val="false"/>
          <w:bCs w:val="false"/>
          <w:color w:val="1C2B42"/>
          <w:sz w:val="22"/>
          <w:szCs w:val="22"/>
        </w:rPr>
        <w:t xml:space="preserve">Name two forms of land tenure other than freehold and state, for each, what the report must disclose. </w:t>
      </w:r>
      <w:r>
        <w:rPr>
          <w:b/>
          <w:bCs/>
          <w:color w:val="10233F"/>
          <w:sz w:val="22"/>
          <w:szCs w:val="22"/>
        </w:rPr>
        <w:t xml:space="preserve">Then explain briefly where the valuer’s reporting of the legal position ends and legal advice begins.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A8C2D9" w:sz="4"/>
              <w:left w:val="single" w:color="A8C2D9" w:sz="4"/>
              <w:bottom w:val="single" w:color="A8C2D9" w:sz="4"/>
              <w:right w:val="single" w:color="A8C2D9" w:sz="4"/>
            </w:tcBorders>
            <w:shd w:fill="F4F7FA" w:color="auto" w:val="clear"/>
            <w:tcMar>
              <w:top w:type="dxa" w:w="120"/>
              <w:left w:type="dxa" w:w="160"/>
              <w:bottom w:type="dxa" w:w="120"/>
              <w:right w:type="dxa" w:w="160"/>
            </w:tcMar>
          </w:tcPr>
          <w:p>
            <w:pPr>
              <w:spacing w:after="0" w:line="300"/>
            </w:pPr>
          </w:p>
          <w:p>
            <w:pPr>
              <w:spacing w:after="0" w:line="300"/>
            </w:pPr>
          </w:p>
          <w:p>
            <w:pPr>
              <w:spacing w:after="0" w:line="300"/>
            </w:pPr>
          </w:p>
          <w:p>
            <w:pPr>
              <w:spacing w:after="0" w:line="300"/>
            </w:pPr>
          </w:p>
          <w:p>
            <w:pPr>
              <w:spacing w:after="0" w:line="300"/>
            </w:pPr>
          </w:p>
          <w:p>
            <w:pPr>
              <w:spacing w:after="0" w:line="300"/>
            </w:pPr>
          </w:p>
        </w:tc>
      </w:tr>
    </w:tbl>
    <w:p>
      <w:pPr>
        <w:pBdr>
          <w:bottom w:val="single" w:color="A8C2D9" w:sz="6"/>
        </w:pBdr>
        <w:spacing w:after="200" w:before="120"/>
      </w:pPr>
    </w:p>
    <w:p>
      <w:pPr>
        <w:spacing w:after="240" w:before="120"/>
      </w:pPr>
      <w:r>
        <w:rPr>
          <w:color w:val="1C2B42"/>
          <w:sz w:val="20"/>
          <w:szCs w:val="20"/>
        </w:rPr>
        <w:t xml:space="preserve">Declaration: I confirm that I registered for and attended the live session VDH24 — Property: Legal Analysis on 17 September 2026, and that the answers above are my own work.</w:t>
      </w:r>
    </w:p>
    <w:p>
      <w:pPr>
        <w:jc w:val="center"/>
      </w:pPr>
      <w:r>
        <w:rPr>
          <w:color w:val="5B6B82"/>
          <w:sz w:val="18"/>
          <w:szCs w:val="18"/>
        </w:rPr>
        <w:t xml:space="preserve">valuationdiscussionhour.com</w:t>
      </w:r>
    </w:p>
    <w:sectPr>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2026-09-17T17:13:41.156Z</dcterms:created>
  <dcterms:modified xsi:type="dcterms:W3CDTF">2026-09-17T17:13:41.168Z</dcterms:modified>
</cp:coreProperties>
</file>

<file path=docProps/custom.xml><?xml version="1.0" encoding="utf-8"?>
<Properties xmlns="http://schemas.openxmlformats.org/officeDocument/2006/custom-properties" xmlns:vt="http://schemas.openxmlformats.org/officeDocument/2006/docPropsVTypes"/>
</file>